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A72" w:rsidRDefault="007C4A72" w:rsidP="00051E0C">
      <w:pPr>
        <w:spacing w:after="0" w:line="240" w:lineRule="auto"/>
        <w:rPr>
          <w:rFonts w:cs="Arial"/>
          <w:bCs/>
          <w:sz w:val="22"/>
          <w:szCs w:val="22"/>
        </w:rPr>
      </w:pPr>
    </w:p>
    <w:p w:rsidR="007C4A72" w:rsidRPr="007C4A72" w:rsidRDefault="007C4A72" w:rsidP="00051E0C">
      <w:pPr>
        <w:spacing w:after="0" w:line="240" w:lineRule="auto"/>
        <w:rPr>
          <w:rFonts w:cs="Arial"/>
          <w:bCs/>
          <w:sz w:val="22"/>
          <w:szCs w:val="22"/>
        </w:rPr>
      </w:pPr>
      <w:r w:rsidRPr="007C4A72">
        <w:rPr>
          <w:rFonts w:cs="Arial"/>
          <w:bCs/>
          <w:noProof/>
          <w:sz w:val="22"/>
          <w:szCs w:val="22"/>
          <w:lang w:val="en-US" w:eastAsia="en-US"/>
        </w:rPr>
        <mc:AlternateContent>
          <mc:Choice Requires="wps">
            <w:drawing>
              <wp:anchor distT="45720" distB="45720" distL="114300" distR="114300" simplePos="0" relativeHeight="251659264" behindDoc="0" locked="0" layoutInCell="1" allowOverlap="1">
                <wp:simplePos x="0" y="0"/>
                <wp:positionH relativeFrom="column">
                  <wp:posOffset>800100</wp:posOffset>
                </wp:positionH>
                <wp:positionV relativeFrom="paragraph">
                  <wp:posOffset>182245</wp:posOffset>
                </wp:positionV>
                <wp:extent cx="4200525" cy="461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610100"/>
                        </a:xfrm>
                        <a:prstGeom prst="rect">
                          <a:avLst/>
                        </a:prstGeom>
                        <a:solidFill>
                          <a:srgbClr val="FFFFFF"/>
                        </a:solidFill>
                        <a:ln w="9525">
                          <a:solidFill>
                            <a:srgbClr val="000000"/>
                          </a:solidFill>
                          <a:miter lim="800000"/>
                          <a:headEnd/>
                          <a:tailEnd/>
                        </a:ln>
                      </wps:spPr>
                      <wps:txbx>
                        <w:txbxContent>
                          <w:p w:rsidR="007C4A72" w:rsidRPr="003504C1" w:rsidRDefault="003504C1" w:rsidP="003504C1">
                            <w:pPr>
                              <w:spacing w:after="0" w:line="240" w:lineRule="auto"/>
                              <w:jc w:val="center"/>
                              <w:rPr>
                                <w:sz w:val="18"/>
                                <w:szCs w:val="18"/>
                              </w:rPr>
                            </w:pPr>
                            <w:r w:rsidRPr="003504C1">
                              <w:rPr>
                                <w:rFonts w:cs="Arial"/>
                                <w:bCs/>
                                <w:noProof/>
                                <w:sz w:val="18"/>
                                <w:szCs w:val="18"/>
                                <w:lang w:val="en-US" w:eastAsia="en-US"/>
                              </w:rPr>
                              <w:drawing>
                                <wp:inline distT="0" distB="0" distL="0" distR="0" wp14:anchorId="2F2AD26C" wp14:editId="18D75147">
                                  <wp:extent cx="1428750" cy="371373"/>
                                  <wp:effectExtent l="0" t="0" r="0" b="0"/>
                                  <wp:docPr id="1" name="Picture 1" descr="C:\Users\TR-COMMS\Google Drive\SCI Turkey\Communications\Branding Guidelines &amp; Policies\SCI Logo\PNG\Copy of STC_Logo_Horiz_RedBlackPos_RGB Low Res-01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COMMS\Google Drive\SCI Turkey\Communications\Branding Guidelines &amp; Policies\SCI Logo\PNG\Copy of STC_Logo_Horiz_RedBlackPos_RGB Low Res-01 - Cop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78" cy="395476"/>
                                          </a:xfrm>
                                          <a:prstGeom prst="rect">
                                            <a:avLst/>
                                          </a:prstGeom>
                                          <a:noFill/>
                                          <a:ln>
                                            <a:noFill/>
                                          </a:ln>
                                        </pic:spPr>
                                      </pic:pic>
                                    </a:graphicData>
                                  </a:graphic>
                                </wp:inline>
                              </w:drawing>
                            </w:r>
                          </w:p>
                          <w:p w:rsidR="007C4A72" w:rsidRPr="003504C1" w:rsidRDefault="007C4A72" w:rsidP="003504C1">
                            <w:pPr>
                              <w:spacing w:after="60" w:line="240" w:lineRule="auto"/>
                              <w:jc w:val="center"/>
                              <w:rPr>
                                <w:b/>
                                <w:u w:val="single"/>
                              </w:rPr>
                            </w:pPr>
                            <w:r w:rsidRPr="003504C1">
                              <w:rPr>
                                <w:b/>
                                <w:u w:val="single"/>
                              </w:rPr>
                              <w:t>Tender Notice</w:t>
                            </w:r>
                          </w:p>
                          <w:p w:rsidR="007C4A72" w:rsidRPr="003504C1" w:rsidRDefault="00AD72D3" w:rsidP="00AD72D3">
                            <w:pPr>
                              <w:spacing w:after="0" w:line="240" w:lineRule="auto"/>
                              <w:jc w:val="center"/>
                              <w:rPr>
                                <w:bCs/>
                                <w:sz w:val="18"/>
                                <w:szCs w:val="18"/>
                                <w:lang w:val="en-US"/>
                              </w:rPr>
                            </w:pPr>
                            <w:r w:rsidRPr="003504C1">
                              <w:rPr>
                                <w:bCs/>
                                <w:sz w:val="18"/>
                                <w:szCs w:val="18"/>
                                <w:lang w:val="en-US"/>
                              </w:rPr>
                              <w:t>Ref. Number: SCI/TR/Tender/2016/001</w:t>
                            </w:r>
                          </w:p>
                          <w:p w:rsidR="00AD72D3" w:rsidRPr="003504C1" w:rsidRDefault="00AD72D3" w:rsidP="00AD72D3">
                            <w:pPr>
                              <w:spacing w:after="0" w:line="240" w:lineRule="auto"/>
                              <w:jc w:val="center"/>
                              <w:rPr>
                                <w:sz w:val="18"/>
                                <w:szCs w:val="18"/>
                              </w:rPr>
                            </w:pPr>
                          </w:p>
                          <w:p w:rsidR="007C4A72" w:rsidRPr="003504C1" w:rsidRDefault="007C4A72" w:rsidP="00AD72D3">
                            <w:pPr>
                              <w:spacing w:after="0" w:line="240" w:lineRule="auto"/>
                              <w:jc w:val="center"/>
                              <w:rPr>
                                <w:sz w:val="18"/>
                                <w:szCs w:val="18"/>
                              </w:rPr>
                            </w:pPr>
                            <w:r w:rsidRPr="003504C1">
                              <w:rPr>
                                <w:sz w:val="18"/>
                                <w:szCs w:val="18"/>
                              </w:rPr>
                              <w:t>Provision of Various Kits under Household Supplies Category</w:t>
                            </w:r>
                          </w:p>
                          <w:p w:rsidR="007C4A72" w:rsidRPr="003504C1" w:rsidRDefault="007C4A72" w:rsidP="007C4A72">
                            <w:pPr>
                              <w:spacing w:after="0" w:line="240" w:lineRule="auto"/>
                              <w:jc w:val="left"/>
                              <w:rPr>
                                <w:b/>
                                <w:sz w:val="18"/>
                                <w:szCs w:val="18"/>
                                <w:u w:val="single"/>
                              </w:rPr>
                            </w:pPr>
                          </w:p>
                          <w:p w:rsidR="007C4A72" w:rsidRPr="003504C1" w:rsidRDefault="007C4A72" w:rsidP="00AD72D3">
                            <w:pPr>
                              <w:spacing w:after="0" w:line="240" w:lineRule="auto"/>
                              <w:rPr>
                                <w:bCs/>
                                <w:sz w:val="18"/>
                                <w:szCs w:val="18"/>
                              </w:rPr>
                            </w:pPr>
                            <w:r w:rsidRPr="003504C1">
                              <w:rPr>
                                <w:bCs/>
                                <w:iCs/>
                                <w:sz w:val="18"/>
                                <w:szCs w:val="18"/>
                              </w:rPr>
                              <w:t>Save the Children is the world’s leading independent organisation for children. We work together, with our partners, to inspire breakthroughs in the way the world treats children and to achieve immediate and lasting change in their lives. As part of the effort, we currently</w:t>
                            </w:r>
                            <w:r w:rsidRPr="003504C1">
                              <w:rPr>
                                <w:bCs/>
                                <w:sz w:val="18"/>
                                <w:szCs w:val="18"/>
                              </w:rPr>
                              <w:t xml:space="preserve"> seeking for potential vendors to supply various household items and kits under the umbrella of Framework Agreement. We also intend to include all pre-qualified bidders from this tendering process in our</w:t>
                            </w:r>
                            <w:r w:rsidR="00AD72D3" w:rsidRPr="003504C1">
                              <w:rPr>
                                <w:bCs/>
                                <w:sz w:val="18"/>
                                <w:szCs w:val="18"/>
                              </w:rPr>
                              <w:t xml:space="preserve"> list of pre-qualified supplier</w:t>
                            </w:r>
                            <w:r w:rsidRPr="003504C1">
                              <w:rPr>
                                <w:bCs/>
                                <w:sz w:val="18"/>
                                <w:szCs w:val="18"/>
                              </w:rPr>
                              <w:t xml:space="preserve"> database.</w:t>
                            </w:r>
                          </w:p>
                          <w:p w:rsidR="00AD72D3" w:rsidRPr="003504C1" w:rsidRDefault="00AD72D3" w:rsidP="00AD72D3">
                            <w:pPr>
                              <w:spacing w:after="0" w:line="240" w:lineRule="auto"/>
                              <w:rPr>
                                <w:bCs/>
                                <w:sz w:val="18"/>
                                <w:szCs w:val="18"/>
                              </w:rPr>
                            </w:pPr>
                          </w:p>
                          <w:p w:rsidR="00AD72D3" w:rsidRPr="003504C1" w:rsidRDefault="00AD72D3" w:rsidP="00AD72D3">
                            <w:pPr>
                              <w:spacing w:after="0" w:line="240" w:lineRule="auto"/>
                              <w:rPr>
                                <w:bCs/>
                                <w:sz w:val="18"/>
                                <w:szCs w:val="18"/>
                              </w:rPr>
                            </w:pPr>
                            <w:r w:rsidRPr="003504C1">
                              <w:rPr>
                                <w:bCs/>
                                <w:sz w:val="18"/>
                                <w:szCs w:val="18"/>
                              </w:rPr>
                              <w:t>If you believe your company is in position to meet our requirement and would like to be considered as potential supplier, please contact our office at the following addre</w:t>
                            </w:r>
                            <w:r w:rsidR="006E268F" w:rsidRPr="003504C1">
                              <w:rPr>
                                <w:bCs/>
                                <w:sz w:val="18"/>
                                <w:szCs w:val="18"/>
                              </w:rPr>
                              <w:t>s</w:t>
                            </w:r>
                            <w:r w:rsidRPr="003504C1">
                              <w:rPr>
                                <w:bCs/>
                                <w:sz w:val="18"/>
                                <w:szCs w:val="18"/>
                              </w:rPr>
                              <w:t>s:</w:t>
                            </w:r>
                          </w:p>
                          <w:p w:rsidR="00AD72D3" w:rsidRPr="003504C1" w:rsidRDefault="00AD72D3" w:rsidP="00AD72D3">
                            <w:pPr>
                              <w:spacing w:after="0" w:line="240" w:lineRule="auto"/>
                              <w:rPr>
                                <w:bCs/>
                                <w:sz w:val="18"/>
                                <w:szCs w:val="18"/>
                              </w:rPr>
                            </w:pPr>
                          </w:p>
                          <w:p w:rsidR="00AD72D3" w:rsidRPr="003504C1" w:rsidRDefault="00AD72D3" w:rsidP="00AD72D3">
                            <w:pPr>
                              <w:spacing w:after="0" w:line="240" w:lineRule="auto"/>
                              <w:jc w:val="center"/>
                              <w:rPr>
                                <w:bCs/>
                                <w:sz w:val="18"/>
                                <w:szCs w:val="18"/>
                              </w:rPr>
                            </w:pPr>
                            <w:r w:rsidRPr="003504C1">
                              <w:rPr>
                                <w:bCs/>
                                <w:sz w:val="18"/>
                                <w:szCs w:val="18"/>
                              </w:rPr>
                              <w:t>Tender Committee of Save the Children</w:t>
                            </w:r>
                          </w:p>
                          <w:p w:rsidR="00AD72D3" w:rsidRPr="003504C1" w:rsidRDefault="00AD72D3" w:rsidP="00AD72D3">
                            <w:pPr>
                              <w:spacing w:after="0" w:line="240" w:lineRule="auto"/>
                              <w:jc w:val="center"/>
                              <w:rPr>
                                <w:bCs/>
                                <w:sz w:val="18"/>
                                <w:szCs w:val="18"/>
                              </w:rPr>
                            </w:pPr>
                            <w:r w:rsidRPr="003504C1">
                              <w:rPr>
                                <w:bCs/>
                                <w:sz w:val="18"/>
                                <w:szCs w:val="18"/>
                              </w:rPr>
                              <w:t>Gaffar Okan Bulvary, Mehmet Beyazit Apartment</w:t>
                            </w:r>
                          </w:p>
                          <w:p w:rsidR="00AD72D3" w:rsidRPr="003504C1" w:rsidRDefault="00AD72D3" w:rsidP="00AD72D3">
                            <w:pPr>
                              <w:spacing w:after="0" w:line="240" w:lineRule="auto"/>
                              <w:jc w:val="center"/>
                              <w:rPr>
                                <w:bCs/>
                                <w:sz w:val="18"/>
                                <w:szCs w:val="18"/>
                              </w:rPr>
                            </w:pPr>
                            <w:r w:rsidRPr="003504C1">
                              <w:rPr>
                                <w:bCs/>
                                <w:sz w:val="18"/>
                                <w:szCs w:val="18"/>
                              </w:rPr>
                              <w:t>Asmakat, Odabasi,</w:t>
                            </w:r>
                          </w:p>
                          <w:p w:rsidR="00AD72D3" w:rsidRPr="003504C1" w:rsidRDefault="00AD72D3" w:rsidP="00AD72D3">
                            <w:pPr>
                              <w:spacing w:after="0" w:line="240" w:lineRule="auto"/>
                              <w:jc w:val="center"/>
                              <w:rPr>
                                <w:b/>
                                <w:bCs/>
                                <w:sz w:val="18"/>
                                <w:szCs w:val="18"/>
                              </w:rPr>
                            </w:pPr>
                            <w:r w:rsidRPr="003504C1">
                              <w:rPr>
                                <w:bCs/>
                                <w:sz w:val="18"/>
                                <w:szCs w:val="18"/>
                              </w:rPr>
                              <w:t>Antakya, Hatay</w:t>
                            </w:r>
                          </w:p>
                          <w:p w:rsidR="00AD72D3" w:rsidRPr="003504C1" w:rsidRDefault="00AD72D3" w:rsidP="00AD72D3">
                            <w:pPr>
                              <w:spacing w:after="0" w:line="240" w:lineRule="auto"/>
                              <w:jc w:val="center"/>
                              <w:rPr>
                                <w:b/>
                                <w:bCs/>
                                <w:sz w:val="18"/>
                                <w:szCs w:val="18"/>
                              </w:rPr>
                            </w:pPr>
                          </w:p>
                          <w:p w:rsidR="00965FC6" w:rsidRPr="003504C1" w:rsidRDefault="00AD72D3" w:rsidP="00965FC6">
                            <w:pPr>
                              <w:spacing w:after="0" w:line="240" w:lineRule="auto"/>
                              <w:jc w:val="left"/>
                              <w:rPr>
                                <w:sz w:val="18"/>
                                <w:szCs w:val="18"/>
                              </w:rPr>
                            </w:pPr>
                            <w:r w:rsidRPr="003504C1">
                              <w:rPr>
                                <w:sz w:val="18"/>
                                <w:szCs w:val="18"/>
                              </w:rPr>
                              <w:t>Collection of tender documents</w:t>
                            </w:r>
                            <w:r w:rsidR="00BA6467" w:rsidRPr="003504C1">
                              <w:rPr>
                                <w:sz w:val="18"/>
                                <w:szCs w:val="18"/>
                              </w:rPr>
                              <w:t>:</w:t>
                            </w:r>
                            <w:r w:rsidRPr="003504C1">
                              <w:rPr>
                                <w:sz w:val="18"/>
                                <w:szCs w:val="18"/>
                              </w:rPr>
                              <w:t xml:space="preserve"> from 21 November </w:t>
                            </w:r>
                            <w:r w:rsidR="006E268F" w:rsidRPr="003504C1">
                              <w:rPr>
                                <w:sz w:val="18"/>
                                <w:szCs w:val="18"/>
                              </w:rPr>
                              <w:t>until 2</w:t>
                            </w:r>
                            <w:r w:rsidRPr="003504C1">
                              <w:rPr>
                                <w:sz w:val="18"/>
                                <w:szCs w:val="18"/>
                              </w:rPr>
                              <w:t>1</w:t>
                            </w:r>
                            <w:r w:rsidR="006E268F" w:rsidRPr="003504C1">
                              <w:rPr>
                                <w:sz w:val="18"/>
                                <w:szCs w:val="18"/>
                              </w:rPr>
                              <w:t xml:space="preserve"> December 2016</w:t>
                            </w:r>
                            <w:r w:rsidRPr="003504C1">
                              <w:rPr>
                                <w:sz w:val="18"/>
                                <w:szCs w:val="18"/>
                              </w:rPr>
                              <w:t xml:space="preserve">. </w:t>
                            </w:r>
                            <w:r w:rsidR="006E268F" w:rsidRPr="003504C1">
                              <w:rPr>
                                <w:sz w:val="18"/>
                                <w:szCs w:val="18"/>
                              </w:rPr>
                              <w:t>Deadline for tender submission</w:t>
                            </w:r>
                            <w:r w:rsidR="00BA6467" w:rsidRPr="003504C1">
                              <w:rPr>
                                <w:sz w:val="18"/>
                                <w:szCs w:val="18"/>
                              </w:rPr>
                              <w:t>:</w:t>
                            </w:r>
                            <w:r w:rsidR="006E268F" w:rsidRPr="003504C1">
                              <w:rPr>
                                <w:sz w:val="18"/>
                                <w:szCs w:val="18"/>
                              </w:rPr>
                              <w:t xml:space="preserve"> 2</w:t>
                            </w:r>
                            <w:r w:rsidR="00C71B88">
                              <w:rPr>
                                <w:sz w:val="18"/>
                                <w:szCs w:val="18"/>
                              </w:rPr>
                              <w:t>6</w:t>
                            </w:r>
                            <w:bookmarkStart w:id="0" w:name="_GoBack"/>
                            <w:bookmarkEnd w:id="0"/>
                            <w:r w:rsidR="006E268F" w:rsidRPr="003504C1">
                              <w:rPr>
                                <w:sz w:val="18"/>
                                <w:szCs w:val="18"/>
                              </w:rPr>
                              <w:t xml:space="preserve"> Dec</w:t>
                            </w:r>
                            <w:r w:rsidR="00965FC6" w:rsidRPr="003504C1">
                              <w:rPr>
                                <w:sz w:val="18"/>
                                <w:szCs w:val="18"/>
                              </w:rPr>
                              <w:t>ember 2016 at 5pm Turkish time.</w:t>
                            </w:r>
                          </w:p>
                          <w:p w:rsidR="00AD72D3" w:rsidRPr="003504C1" w:rsidRDefault="006E268F" w:rsidP="00965FC6">
                            <w:pPr>
                              <w:spacing w:after="0" w:line="240" w:lineRule="auto"/>
                              <w:rPr>
                                <w:sz w:val="18"/>
                                <w:szCs w:val="18"/>
                              </w:rPr>
                            </w:pPr>
                            <w:r w:rsidRPr="003504C1">
                              <w:rPr>
                                <w:sz w:val="18"/>
                                <w:szCs w:val="18"/>
                              </w:rPr>
                              <w:t>Collection and submission of tender documents should be done from 9am to 5pm every weekday.</w:t>
                            </w:r>
                          </w:p>
                          <w:p w:rsidR="006E268F" w:rsidRPr="003504C1" w:rsidRDefault="006E268F" w:rsidP="00AD72D3">
                            <w:pPr>
                              <w:spacing w:after="0" w:line="240" w:lineRule="auto"/>
                              <w:rPr>
                                <w:sz w:val="18"/>
                                <w:szCs w:val="18"/>
                              </w:rPr>
                            </w:pPr>
                          </w:p>
                          <w:p w:rsidR="006E268F" w:rsidRPr="003504C1" w:rsidRDefault="00BA6467" w:rsidP="00AD72D3">
                            <w:pPr>
                              <w:spacing w:after="0" w:line="240" w:lineRule="auto"/>
                              <w:rPr>
                                <w:sz w:val="18"/>
                                <w:szCs w:val="18"/>
                              </w:rPr>
                            </w:pPr>
                            <w:r w:rsidRPr="003504C1">
                              <w:rPr>
                                <w:sz w:val="18"/>
                                <w:szCs w:val="18"/>
                              </w:rPr>
                              <w:t>All current suppliers are advised to re-apply.</w:t>
                            </w:r>
                          </w:p>
                          <w:p w:rsidR="00BA6467" w:rsidRPr="003504C1" w:rsidRDefault="00BA6467" w:rsidP="00AD72D3">
                            <w:pPr>
                              <w:spacing w:after="0" w:line="240" w:lineRule="auto"/>
                              <w:rPr>
                                <w:sz w:val="18"/>
                                <w:szCs w:val="18"/>
                              </w:rPr>
                            </w:pPr>
                          </w:p>
                          <w:p w:rsidR="00BA6467" w:rsidRPr="003504C1" w:rsidRDefault="00BA6467" w:rsidP="00AD72D3">
                            <w:pPr>
                              <w:spacing w:after="0" w:line="240" w:lineRule="auto"/>
                              <w:rPr>
                                <w:sz w:val="18"/>
                                <w:szCs w:val="18"/>
                              </w:rPr>
                            </w:pPr>
                            <w:r w:rsidRPr="003504C1">
                              <w:rPr>
                                <w:sz w:val="18"/>
                                <w:szCs w:val="18"/>
                              </w:rPr>
                              <w:t xml:space="preserve">Please contact </w:t>
                            </w:r>
                            <w:hyperlink r:id="rId12" w:history="1">
                              <w:r w:rsidRPr="003504C1">
                                <w:rPr>
                                  <w:rStyle w:val="Hyperlink"/>
                                  <w:sz w:val="18"/>
                                  <w:szCs w:val="18"/>
                                </w:rPr>
                                <w:t>procurement.turkey@savethechildren.org</w:t>
                              </w:r>
                            </w:hyperlink>
                            <w:r w:rsidRPr="003504C1">
                              <w:rPr>
                                <w:sz w:val="18"/>
                                <w:szCs w:val="18"/>
                              </w:rPr>
                              <w:t xml:space="preserve"> for further informatio</w:t>
                            </w:r>
                            <w:r w:rsidR="00353DAF" w:rsidRPr="003504C1">
                              <w:rPr>
                                <w:sz w:val="18"/>
                                <w:szCs w:val="18"/>
                              </w:rPr>
                              <w:t>n and clarification, and indicate</w:t>
                            </w:r>
                            <w:r w:rsidRPr="003504C1">
                              <w:rPr>
                                <w:sz w:val="18"/>
                                <w:szCs w:val="18"/>
                              </w:rPr>
                              <w:t xml:space="preserve"> </w:t>
                            </w:r>
                            <w:r w:rsidR="00353DAF" w:rsidRPr="003504C1">
                              <w:rPr>
                                <w:sz w:val="18"/>
                                <w:szCs w:val="18"/>
                              </w:rPr>
                              <w:t>tender reference number in email subject.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14.35pt;width:330.75pt;height:3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">
                <v:textbox>
                  <w:txbxContent>
                    <w:p w:rsidR="007C4A72" w:rsidRPr="003504C1" w:rsidRDefault="003504C1" w:rsidP="003504C1">
                      <w:pPr>
                        <w:spacing w:after="0" w:line="240" w:lineRule="auto"/>
                        <w:jc w:val="center"/>
                        <w:rPr>
                          <w:sz w:val="18"/>
                          <w:szCs w:val="18"/>
                        </w:rPr>
                      </w:pPr>
                      <w:r w:rsidRPr="003504C1">
                        <w:rPr>
                          <w:rFonts w:cs="Arial"/>
                          <w:bCs/>
                          <w:noProof/>
                          <w:sz w:val="18"/>
                          <w:szCs w:val="18"/>
                          <w:lang w:val="en-US" w:eastAsia="en-US"/>
                        </w:rPr>
                        <w:drawing>
                          <wp:inline distT="0" distB="0" distL="0" distR="0" wp14:anchorId="2F2AD26C" wp14:editId="18D75147">
                            <wp:extent cx="1428750" cy="371373"/>
                            <wp:effectExtent l="0" t="0" r="0" b="0"/>
                            <wp:docPr id="1" name="Picture 1" descr="C:\Users\TR-COMMS\Google Drive\SCI Turkey\Communications\Branding Guidelines &amp; Policies\SCI Logo\PNG\Copy of STC_Logo_Horiz_RedBlackPos_RGB Low Res-01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COMMS\Google Drive\SCI Turkey\Communications\Branding Guidelines &amp; Policies\SCI Logo\PNG\Copy of STC_Logo_Horiz_RedBlackPos_RGB Low Res-01 - Cop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78" cy="395476"/>
                                    </a:xfrm>
                                    <a:prstGeom prst="rect">
                                      <a:avLst/>
                                    </a:prstGeom>
                                    <a:noFill/>
                                    <a:ln>
                                      <a:noFill/>
                                    </a:ln>
                                  </pic:spPr>
                                </pic:pic>
                              </a:graphicData>
                            </a:graphic>
                          </wp:inline>
                        </w:drawing>
                      </w:r>
                    </w:p>
                    <w:p w:rsidR="007C4A72" w:rsidRPr="003504C1" w:rsidRDefault="007C4A72" w:rsidP="003504C1">
                      <w:pPr>
                        <w:spacing w:after="60" w:line="240" w:lineRule="auto"/>
                        <w:jc w:val="center"/>
                        <w:rPr>
                          <w:b/>
                          <w:u w:val="single"/>
                        </w:rPr>
                      </w:pPr>
                      <w:r w:rsidRPr="003504C1">
                        <w:rPr>
                          <w:b/>
                          <w:u w:val="single"/>
                        </w:rPr>
                        <w:t>Tender Notice</w:t>
                      </w:r>
                    </w:p>
                    <w:p w:rsidR="007C4A72" w:rsidRPr="003504C1" w:rsidRDefault="00AD72D3" w:rsidP="00AD72D3">
                      <w:pPr>
                        <w:spacing w:after="0" w:line="240" w:lineRule="auto"/>
                        <w:jc w:val="center"/>
                        <w:rPr>
                          <w:bCs/>
                          <w:sz w:val="18"/>
                          <w:szCs w:val="18"/>
                          <w:lang w:val="en-US"/>
                        </w:rPr>
                      </w:pPr>
                      <w:r w:rsidRPr="003504C1">
                        <w:rPr>
                          <w:bCs/>
                          <w:sz w:val="18"/>
                          <w:szCs w:val="18"/>
                          <w:lang w:val="en-US"/>
                        </w:rPr>
                        <w:t>Ref. Number: SCI/TR/Tender/2016/001</w:t>
                      </w:r>
                    </w:p>
                    <w:p w:rsidR="00AD72D3" w:rsidRPr="003504C1" w:rsidRDefault="00AD72D3" w:rsidP="00AD72D3">
                      <w:pPr>
                        <w:spacing w:after="0" w:line="240" w:lineRule="auto"/>
                        <w:jc w:val="center"/>
                        <w:rPr>
                          <w:sz w:val="18"/>
                          <w:szCs w:val="18"/>
                        </w:rPr>
                      </w:pPr>
                    </w:p>
                    <w:p w:rsidR="007C4A72" w:rsidRPr="003504C1" w:rsidRDefault="007C4A72" w:rsidP="00AD72D3">
                      <w:pPr>
                        <w:spacing w:after="0" w:line="240" w:lineRule="auto"/>
                        <w:jc w:val="center"/>
                        <w:rPr>
                          <w:sz w:val="18"/>
                          <w:szCs w:val="18"/>
                        </w:rPr>
                      </w:pPr>
                      <w:r w:rsidRPr="003504C1">
                        <w:rPr>
                          <w:sz w:val="18"/>
                          <w:szCs w:val="18"/>
                        </w:rPr>
                        <w:t>Provision of Various Kits under Household Supplies Category</w:t>
                      </w:r>
                    </w:p>
                    <w:p w:rsidR="007C4A72" w:rsidRPr="003504C1" w:rsidRDefault="007C4A72" w:rsidP="007C4A72">
                      <w:pPr>
                        <w:spacing w:after="0" w:line="240" w:lineRule="auto"/>
                        <w:jc w:val="left"/>
                        <w:rPr>
                          <w:b/>
                          <w:sz w:val="18"/>
                          <w:szCs w:val="18"/>
                          <w:u w:val="single"/>
                        </w:rPr>
                      </w:pPr>
                    </w:p>
                    <w:p w:rsidR="007C4A72" w:rsidRPr="003504C1" w:rsidRDefault="007C4A72" w:rsidP="00AD72D3">
                      <w:pPr>
                        <w:spacing w:after="0" w:line="240" w:lineRule="auto"/>
                        <w:rPr>
                          <w:bCs/>
                          <w:sz w:val="18"/>
                          <w:szCs w:val="18"/>
                        </w:rPr>
                      </w:pPr>
                      <w:r w:rsidRPr="003504C1">
                        <w:rPr>
                          <w:bCs/>
                          <w:iCs/>
                          <w:sz w:val="18"/>
                          <w:szCs w:val="18"/>
                        </w:rPr>
                        <w:t>Save the Children is the world’s leading independent organisation for children. We work together, with our partners, to inspire breakthroughs in the way the world treats children and to achieve immediate and lasting change in their lives. As part of the effort, we currently</w:t>
                      </w:r>
                      <w:r w:rsidRPr="003504C1">
                        <w:rPr>
                          <w:bCs/>
                          <w:sz w:val="18"/>
                          <w:szCs w:val="18"/>
                        </w:rPr>
                        <w:t xml:space="preserve"> seeking for potential vendors to supply various household items and kits under the umbrella of Framework Agreement. We also intend to include all pre-qualified bidders from this tendering process in our</w:t>
                      </w:r>
                      <w:r w:rsidR="00AD72D3" w:rsidRPr="003504C1">
                        <w:rPr>
                          <w:bCs/>
                          <w:sz w:val="18"/>
                          <w:szCs w:val="18"/>
                        </w:rPr>
                        <w:t xml:space="preserve"> list of pre-qualified supplier</w:t>
                      </w:r>
                      <w:r w:rsidRPr="003504C1">
                        <w:rPr>
                          <w:bCs/>
                          <w:sz w:val="18"/>
                          <w:szCs w:val="18"/>
                        </w:rPr>
                        <w:t xml:space="preserve"> database.</w:t>
                      </w:r>
                    </w:p>
                    <w:p w:rsidR="00AD72D3" w:rsidRPr="003504C1" w:rsidRDefault="00AD72D3" w:rsidP="00AD72D3">
                      <w:pPr>
                        <w:spacing w:after="0" w:line="240" w:lineRule="auto"/>
                        <w:rPr>
                          <w:bCs/>
                          <w:sz w:val="18"/>
                          <w:szCs w:val="18"/>
                        </w:rPr>
                      </w:pPr>
                    </w:p>
                    <w:p w:rsidR="00AD72D3" w:rsidRPr="003504C1" w:rsidRDefault="00AD72D3" w:rsidP="00AD72D3">
                      <w:pPr>
                        <w:spacing w:after="0" w:line="240" w:lineRule="auto"/>
                        <w:rPr>
                          <w:bCs/>
                          <w:sz w:val="18"/>
                          <w:szCs w:val="18"/>
                        </w:rPr>
                      </w:pPr>
                      <w:r w:rsidRPr="003504C1">
                        <w:rPr>
                          <w:bCs/>
                          <w:sz w:val="18"/>
                          <w:szCs w:val="18"/>
                        </w:rPr>
                        <w:t>If you believe your company is in position to meet our requirement and would like to be considered as potential supplier, please contact our office at the following addre</w:t>
                      </w:r>
                      <w:r w:rsidR="006E268F" w:rsidRPr="003504C1">
                        <w:rPr>
                          <w:bCs/>
                          <w:sz w:val="18"/>
                          <w:szCs w:val="18"/>
                        </w:rPr>
                        <w:t>s</w:t>
                      </w:r>
                      <w:r w:rsidRPr="003504C1">
                        <w:rPr>
                          <w:bCs/>
                          <w:sz w:val="18"/>
                          <w:szCs w:val="18"/>
                        </w:rPr>
                        <w:t>s:</w:t>
                      </w:r>
                    </w:p>
                    <w:p w:rsidR="00AD72D3" w:rsidRPr="003504C1" w:rsidRDefault="00AD72D3" w:rsidP="00AD72D3">
                      <w:pPr>
                        <w:spacing w:after="0" w:line="240" w:lineRule="auto"/>
                        <w:rPr>
                          <w:bCs/>
                          <w:sz w:val="18"/>
                          <w:szCs w:val="18"/>
                        </w:rPr>
                      </w:pPr>
                    </w:p>
                    <w:p w:rsidR="00AD72D3" w:rsidRPr="003504C1" w:rsidRDefault="00AD72D3" w:rsidP="00AD72D3">
                      <w:pPr>
                        <w:spacing w:after="0" w:line="240" w:lineRule="auto"/>
                        <w:jc w:val="center"/>
                        <w:rPr>
                          <w:bCs/>
                          <w:sz w:val="18"/>
                          <w:szCs w:val="18"/>
                        </w:rPr>
                      </w:pPr>
                      <w:r w:rsidRPr="003504C1">
                        <w:rPr>
                          <w:bCs/>
                          <w:sz w:val="18"/>
                          <w:szCs w:val="18"/>
                        </w:rPr>
                        <w:t>Tender Committee of Save the Children</w:t>
                      </w:r>
                    </w:p>
                    <w:p w:rsidR="00AD72D3" w:rsidRPr="003504C1" w:rsidRDefault="00AD72D3" w:rsidP="00AD72D3">
                      <w:pPr>
                        <w:spacing w:after="0" w:line="240" w:lineRule="auto"/>
                        <w:jc w:val="center"/>
                        <w:rPr>
                          <w:bCs/>
                          <w:sz w:val="18"/>
                          <w:szCs w:val="18"/>
                        </w:rPr>
                      </w:pPr>
                      <w:r w:rsidRPr="003504C1">
                        <w:rPr>
                          <w:bCs/>
                          <w:sz w:val="18"/>
                          <w:szCs w:val="18"/>
                        </w:rPr>
                        <w:t>Gaffar Okan Bulvary, Mehmet Beyazit Apartment</w:t>
                      </w:r>
                    </w:p>
                    <w:p w:rsidR="00AD72D3" w:rsidRPr="003504C1" w:rsidRDefault="00AD72D3" w:rsidP="00AD72D3">
                      <w:pPr>
                        <w:spacing w:after="0" w:line="240" w:lineRule="auto"/>
                        <w:jc w:val="center"/>
                        <w:rPr>
                          <w:bCs/>
                          <w:sz w:val="18"/>
                          <w:szCs w:val="18"/>
                        </w:rPr>
                      </w:pPr>
                      <w:r w:rsidRPr="003504C1">
                        <w:rPr>
                          <w:bCs/>
                          <w:sz w:val="18"/>
                          <w:szCs w:val="18"/>
                        </w:rPr>
                        <w:t>Asmakat, Odabasi,</w:t>
                      </w:r>
                    </w:p>
                    <w:p w:rsidR="00AD72D3" w:rsidRPr="003504C1" w:rsidRDefault="00AD72D3" w:rsidP="00AD72D3">
                      <w:pPr>
                        <w:spacing w:after="0" w:line="240" w:lineRule="auto"/>
                        <w:jc w:val="center"/>
                        <w:rPr>
                          <w:b/>
                          <w:bCs/>
                          <w:sz w:val="18"/>
                          <w:szCs w:val="18"/>
                        </w:rPr>
                      </w:pPr>
                      <w:r w:rsidRPr="003504C1">
                        <w:rPr>
                          <w:bCs/>
                          <w:sz w:val="18"/>
                          <w:szCs w:val="18"/>
                        </w:rPr>
                        <w:t>Antakya, Hatay</w:t>
                      </w:r>
                    </w:p>
                    <w:p w:rsidR="00AD72D3" w:rsidRPr="003504C1" w:rsidRDefault="00AD72D3" w:rsidP="00AD72D3">
                      <w:pPr>
                        <w:spacing w:after="0" w:line="240" w:lineRule="auto"/>
                        <w:jc w:val="center"/>
                        <w:rPr>
                          <w:b/>
                          <w:bCs/>
                          <w:sz w:val="18"/>
                          <w:szCs w:val="18"/>
                        </w:rPr>
                      </w:pPr>
                    </w:p>
                    <w:p w:rsidR="00965FC6" w:rsidRPr="003504C1" w:rsidRDefault="00AD72D3" w:rsidP="00965FC6">
                      <w:pPr>
                        <w:spacing w:after="0" w:line="240" w:lineRule="auto"/>
                        <w:jc w:val="left"/>
                        <w:rPr>
                          <w:sz w:val="18"/>
                          <w:szCs w:val="18"/>
                        </w:rPr>
                      </w:pPr>
                      <w:r w:rsidRPr="003504C1">
                        <w:rPr>
                          <w:sz w:val="18"/>
                          <w:szCs w:val="18"/>
                        </w:rPr>
                        <w:t>Collection of tender documents</w:t>
                      </w:r>
                      <w:r w:rsidR="00BA6467" w:rsidRPr="003504C1">
                        <w:rPr>
                          <w:sz w:val="18"/>
                          <w:szCs w:val="18"/>
                        </w:rPr>
                        <w:t>:</w:t>
                      </w:r>
                      <w:r w:rsidRPr="003504C1">
                        <w:rPr>
                          <w:sz w:val="18"/>
                          <w:szCs w:val="18"/>
                        </w:rPr>
                        <w:t xml:space="preserve"> from 21 November </w:t>
                      </w:r>
                      <w:r w:rsidR="006E268F" w:rsidRPr="003504C1">
                        <w:rPr>
                          <w:sz w:val="18"/>
                          <w:szCs w:val="18"/>
                        </w:rPr>
                        <w:t>until 2</w:t>
                      </w:r>
                      <w:r w:rsidRPr="003504C1">
                        <w:rPr>
                          <w:sz w:val="18"/>
                          <w:szCs w:val="18"/>
                        </w:rPr>
                        <w:t>1</w:t>
                      </w:r>
                      <w:r w:rsidR="006E268F" w:rsidRPr="003504C1">
                        <w:rPr>
                          <w:sz w:val="18"/>
                          <w:szCs w:val="18"/>
                        </w:rPr>
                        <w:t xml:space="preserve"> December 2016</w:t>
                      </w:r>
                      <w:r w:rsidRPr="003504C1">
                        <w:rPr>
                          <w:sz w:val="18"/>
                          <w:szCs w:val="18"/>
                        </w:rPr>
                        <w:t xml:space="preserve">. </w:t>
                      </w:r>
                      <w:r w:rsidR="006E268F" w:rsidRPr="003504C1">
                        <w:rPr>
                          <w:sz w:val="18"/>
                          <w:szCs w:val="18"/>
                        </w:rPr>
                        <w:t>Deadline for tender submission</w:t>
                      </w:r>
                      <w:r w:rsidR="00BA6467" w:rsidRPr="003504C1">
                        <w:rPr>
                          <w:sz w:val="18"/>
                          <w:szCs w:val="18"/>
                        </w:rPr>
                        <w:t>:</w:t>
                      </w:r>
                      <w:r w:rsidR="006E268F" w:rsidRPr="003504C1">
                        <w:rPr>
                          <w:sz w:val="18"/>
                          <w:szCs w:val="18"/>
                        </w:rPr>
                        <w:t xml:space="preserve"> 2</w:t>
                      </w:r>
                      <w:r w:rsidR="00C71B88">
                        <w:rPr>
                          <w:sz w:val="18"/>
                          <w:szCs w:val="18"/>
                        </w:rPr>
                        <w:t>6</w:t>
                      </w:r>
                      <w:bookmarkStart w:id="1" w:name="_GoBack"/>
                      <w:bookmarkEnd w:id="1"/>
                      <w:r w:rsidR="006E268F" w:rsidRPr="003504C1">
                        <w:rPr>
                          <w:sz w:val="18"/>
                          <w:szCs w:val="18"/>
                        </w:rPr>
                        <w:t xml:space="preserve"> Dec</w:t>
                      </w:r>
                      <w:r w:rsidR="00965FC6" w:rsidRPr="003504C1">
                        <w:rPr>
                          <w:sz w:val="18"/>
                          <w:szCs w:val="18"/>
                        </w:rPr>
                        <w:t>ember 2016 at 5pm Turkish time.</w:t>
                      </w:r>
                    </w:p>
                    <w:p w:rsidR="00AD72D3" w:rsidRPr="003504C1" w:rsidRDefault="006E268F" w:rsidP="00965FC6">
                      <w:pPr>
                        <w:spacing w:after="0" w:line="240" w:lineRule="auto"/>
                        <w:rPr>
                          <w:sz w:val="18"/>
                          <w:szCs w:val="18"/>
                        </w:rPr>
                      </w:pPr>
                      <w:r w:rsidRPr="003504C1">
                        <w:rPr>
                          <w:sz w:val="18"/>
                          <w:szCs w:val="18"/>
                        </w:rPr>
                        <w:t>Collection and submission of tender documents should be done from 9am to 5pm every weekday.</w:t>
                      </w:r>
                    </w:p>
                    <w:p w:rsidR="006E268F" w:rsidRPr="003504C1" w:rsidRDefault="006E268F" w:rsidP="00AD72D3">
                      <w:pPr>
                        <w:spacing w:after="0" w:line="240" w:lineRule="auto"/>
                        <w:rPr>
                          <w:sz w:val="18"/>
                          <w:szCs w:val="18"/>
                        </w:rPr>
                      </w:pPr>
                    </w:p>
                    <w:p w:rsidR="006E268F" w:rsidRPr="003504C1" w:rsidRDefault="00BA6467" w:rsidP="00AD72D3">
                      <w:pPr>
                        <w:spacing w:after="0" w:line="240" w:lineRule="auto"/>
                        <w:rPr>
                          <w:sz w:val="18"/>
                          <w:szCs w:val="18"/>
                        </w:rPr>
                      </w:pPr>
                      <w:r w:rsidRPr="003504C1">
                        <w:rPr>
                          <w:sz w:val="18"/>
                          <w:szCs w:val="18"/>
                        </w:rPr>
                        <w:t>All current suppliers are advised to re-apply.</w:t>
                      </w:r>
                    </w:p>
                    <w:p w:rsidR="00BA6467" w:rsidRPr="003504C1" w:rsidRDefault="00BA6467" w:rsidP="00AD72D3">
                      <w:pPr>
                        <w:spacing w:after="0" w:line="240" w:lineRule="auto"/>
                        <w:rPr>
                          <w:sz w:val="18"/>
                          <w:szCs w:val="18"/>
                        </w:rPr>
                      </w:pPr>
                    </w:p>
                    <w:p w:rsidR="00BA6467" w:rsidRPr="003504C1" w:rsidRDefault="00BA6467" w:rsidP="00AD72D3">
                      <w:pPr>
                        <w:spacing w:after="0" w:line="240" w:lineRule="auto"/>
                        <w:rPr>
                          <w:sz w:val="18"/>
                          <w:szCs w:val="18"/>
                        </w:rPr>
                      </w:pPr>
                      <w:r w:rsidRPr="003504C1">
                        <w:rPr>
                          <w:sz w:val="18"/>
                          <w:szCs w:val="18"/>
                        </w:rPr>
                        <w:t xml:space="preserve">Please contact </w:t>
                      </w:r>
                      <w:hyperlink r:id="rId13" w:history="1">
                        <w:r w:rsidRPr="003504C1">
                          <w:rPr>
                            <w:rStyle w:val="Hyperlink"/>
                            <w:sz w:val="18"/>
                            <w:szCs w:val="18"/>
                          </w:rPr>
                          <w:t>procurement.turkey@savethechildren.org</w:t>
                        </w:r>
                      </w:hyperlink>
                      <w:r w:rsidRPr="003504C1">
                        <w:rPr>
                          <w:sz w:val="18"/>
                          <w:szCs w:val="18"/>
                        </w:rPr>
                        <w:t xml:space="preserve"> for further informatio</w:t>
                      </w:r>
                      <w:r w:rsidR="00353DAF" w:rsidRPr="003504C1">
                        <w:rPr>
                          <w:sz w:val="18"/>
                          <w:szCs w:val="18"/>
                        </w:rPr>
                        <w:t>n and clarification, and indicate</w:t>
                      </w:r>
                      <w:r w:rsidRPr="003504C1">
                        <w:rPr>
                          <w:sz w:val="18"/>
                          <w:szCs w:val="18"/>
                        </w:rPr>
                        <w:t xml:space="preserve"> </w:t>
                      </w:r>
                      <w:r w:rsidR="00353DAF" w:rsidRPr="003504C1">
                        <w:rPr>
                          <w:sz w:val="18"/>
                          <w:szCs w:val="18"/>
                        </w:rPr>
                        <w:t>tender reference number in email subject.</w:t>
                      </w:r>
                    </w:p>
                  </w:txbxContent>
                </v:textbox>
                <w10:wrap type="square"/>
              </v:shape>
            </w:pict>
          </mc:Fallback>
        </mc:AlternateContent>
      </w:r>
    </w:p>
    <w:sectPr w:rsidR="007C4A72" w:rsidRPr="007C4A72" w:rsidSect="00BF11B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1E" w:rsidRDefault="0039501E">
      <w:r>
        <w:separator/>
      </w:r>
    </w:p>
  </w:endnote>
  <w:endnote w:type="continuationSeparator" w:id="0">
    <w:p w:rsidR="0039501E" w:rsidRDefault="0039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1E" w:rsidRDefault="0039501E">
      <w:r>
        <w:separator/>
      </w:r>
    </w:p>
  </w:footnote>
  <w:footnote w:type="continuationSeparator" w:id="0">
    <w:p w:rsidR="0039501E" w:rsidRDefault="00395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DED"/>
    <w:multiLevelType w:val="hybridMultilevel"/>
    <w:tmpl w:val="4184E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5548D"/>
    <w:multiLevelType w:val="hybridMultilevel"/>
    <w:tmpl w:val="E83E4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815DF6"/>
    <w:multiLevelType w:val="hybridMultilevel"/>
    <w:tmpl w:val="6B8C32E4"/>
    <w:lvl w:ilvl="0" w:tplc="B02AD8EE">
      <w:start w:val="1"/>
      <w:numFmt w:val="upperLetter"/>
      <w:lvlText w:val="%1."/>
      <w:lvlJc w:val="left"/>
      <w:pPr>
        <w:ind w:left="1170" w:hanging="360"/>
      </w:pPr>
      <w:rPr>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6F5F00"/>
    <w:multiLevelType w:val="hybridMultilevel"/>
    <w:tmpl w:val="155CB974"/>
    <w:lvl w:ilvl="0" w:tplc="5ADABD2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F8A712F"/>
    <w:multiLevelType w:val="hybridMultilevel"/>
    <w:tmpl w:val="AC245F98"/>
    <w:lvl w:ilvl="0" w:tplc="BAB42BC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2FAC27DD"/>
    <w:multiLevelType w:val="hybridMultilevel"/>
    <w:tmpl w:val="39DE7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835E4"/>
    <w:multiLevelType w:val="hybridMultilevel"/>
    <w:tmpl w:val="50B0D498"/>
    <w:lvl w:ilvl="0" w:tplc="39EC634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9082468"/>
    <w:multiLevelType w:val="hybridMultilevel"/>
    <w:tmpl w:val="A60CC2E2"/>
    <w:lvl w:ilvl="0" w:tplc="CDB400B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3AE820E7"/>
    <w:multiLevelType w:val="hybridMultilevel"/>
    <w:tmpl w:val="9DFC3DD4"/>
    <w:lvl w:ilvl="0" w:tplc="E9C863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BF02F20"/>
    <w:multiLevelType w:val="hybridMultilevel"/>
    <w:tmpl w:val="A858E10E"/>
    <w:lvl w:ilvl="0" w:tplc="2ECA7B54">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1" w15:restartNumberingAfterBreak="0">
    <w:nsid w:val="3D6C1FFD"/>
    <w:multiLevelType w:val="hybridMultilevel"/>
    <w:tmpl w:val="6A407B2E"/>
    <w:lvl w:ilvl="0" w:tplc="8CA2CBF8">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15:restartNumberingAfterBreak="0">
    <w:nsid w:val="3DD13A0F"/>
    <w:multiLevelType w:val="hybridMultilevel"/>
    <w:tmpl w:val="32207BF2"/>
    <w:lvl w:ilvl="0" w:tplc="478E990E">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15:restartNumberingAfterBreak="0">
    <w:nsid w:val="3FBC620A"/>
    <w:multiLevelType w:val="hybridMultilevel"/>
    <w:tmpl w:val="A82E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F2244"/>
    <w:multiLevelType w:val="hybridMultilevel"/>
    <w:tmpl w:val="2BF255E4"/>
    <w:lvl w:ilvl="0" w:tplc="CDF245FC">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5" w15:restartNumberingAfterBreak="0">
    <w:nsid w:val="436C3D9B"/>
    <w:multiLevelType w:val="hybridMultilevel"/>
    <w:tmpl w:val="88BC262A"/>
    <w:lvl w:ilvl="0" w:tplc="465CC48A">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6" w15:restartNumberingAfterBreak="0">
    <w:nsid w:val="49312A6D"/>
    <w:multiLevelType w:val="hybridMultilevel"/>
    <w:tmpl w:val="AE84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11035"/>
    <w:multiLevelType w:val="hybridMultilevel"/>
    <w:tmpl w:val="A9581B34"/>
    <w:lvl w:ilvl="0" w:tplc="94064EB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4A9B500C"/>
    <w:multiLevelType w:val="hybridMultilevel"/>
    <w:tmpl w:val="62AA8008"/>
    <w:lvl w:ilvl="0" w:tplc="0074D68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DD9447C"/>
    <w:multiLevelType w:val="hybridMultilevel"/>
    <w:tmpl w:val="2F36A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2C4111"/>
    <w:multiLevelType w:val="hybridMultilevel"/>
    <w:tmpl w:val="572EE8F8"/>
    <w:lvl w:ilvl="0" w:tplc="F1804F36">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1" w15:restartNumberingAfterBreak="0">
    <w:nsid w:val="60AE3758"/>
    <w:multiLevelType w:val="hybridMultilevel"/>
    <w:tmpl w:val="1F8A5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8715A"/>
    <w:multiLevelType w:val="hybridMultilevel"/>
    <w:tmpl w:val="B5E0DCCE"/>
    <w:lvl w:ilvl="0" w:tplc="60B09D2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6B7D5D36"/>
    <w:multiLevelType w:val="hybridMultilevel"/>
    <w:tmpl w:val="F2F06968"/>
    <w:lvl w:ilvl="0" w:tplc="DFBAA3EA">
      <w:start w:val="1"/>
      <w:numFmt w:val="lowerLetter"/>
      <w:lvlText w:val="%1."/>
      <w:lvlJc w:val="left"/>
      <w:pPr>
        <w:ind w:left="162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4" w15:restartNumberingAfterBreak="0">
    <w:nsid w:val="6BEE5BA1"/>
    <w:multiLevelType w:val="hybridMultilevel"/>
    <w:tmpl w:val="6AE0A034"/>
    <w:lvl w:ilvl="0" w:tplc="6C4653E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71453C46"/>
    <w:multiLevelType w:val="hybridMultilevel"/>
    <w:tmpl w:val="009A6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B6DB2"/>
    <w:multiLevelType w:val="hybridMultilevel"/>
    <w:tmpl w:val="3B30F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7"/>
  </w:num>
  <w:num w:numId="4">
    <w:abstractNumId w:val="19"/>
  </w:num>
  <w:num w:numId="5">
    <w:abstractNumId w:val="2"/>
  </w:num>
  <w:num w:numId="6">
    <w:abstractNumId w:val="21"/>
  </w:num>
  <w:num w:numId="7">
    <w:abstractNumId w:val="13"/>
  </w:num>
  <w:num w:numId="8">
    <w:abstractNumId w:val="0"/>
  </w:num>
  <w:num w:numId="9">
    <w:abstractNumId w:val="5"/>
  </w:num>
  <w:num w:numId="10">
    <w:abstractNumId w:val="16"/>
  </w:num>
  <w:num w:numId="11">
    <w:abstractNumId w:val="23"/>
  </w:num>
  <w:num w:numId="12">
    <w:abstractNumId w:val="12"/>
  </w:num>
  <w:num w:numId="13">
    <w:abstractNumId w:val="17"/>
  </w:num>
  <w:num w:numId="14">
    <w:abstractNumId w:val="15"/>
  </w:num>
  <w:num w:numId="15">
    <w:abstractNumId w:val="14"/>
  </w:num>
  <w:num w:numId="16">
    <w:abstractNumId w:val="9"/>
  </w:num>
  <w:num w:numId="17">
    <w:abstractNumId w:val="22"/>
  </w:num>
  <w:num w:numId="18">
    <w:abstractNumId w:val="3"/>
  </w:num>
  <w:num w:numId="19">
    <w:abstractNumId w:val="24"/>
  </w:num>
  <w:num w:numId="20">
    <w:abstractNumId w:val="18"/>
  </w:num>
  <w:num w:numId="21">
    <w:abstractNumId w:val="10"/>
  </w:num>
  <w:num w:numId="22">
    <w:abstractNumId w:val="8"/>
  </w:num>
  <w:num w:numId="23">
    <w:abstractNumId w:val="25"/>
  </w:num>
  <w:num w:numId="24">
    <w:abstractNumId w:val="6"/>
  </w:num>
  <w:num w:numId="25">
    <w:abstractNumId w:val="4"/>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08"/>
    <w:rsid w:val="00003752"/>
    <w:rsid w:val="000311F1"/>
    <w:rsid w:val="00044E86"/>
    <w:rsid w:val="00051E0C"/>
    <w:rsid w:val="00064B20"/>
    <w:rsid w:val="000B06E4"/>
    <w:rsid w:val="000B1763"/>
    <w:rsid w:val="000B5564"/>
    <w:rsid w:val="00135B6F"/>
    <w:rsid w:val="00163EFB"/>
    <w:rsid w:val="00174FAC"/>
    <w:rsid w:val="00182633"/>
    <w:rsid w:val="00192983"/>
    <w:rsid w:val="001A3BF1"/>
    <w:rsid w:val="001A5C1B"/>
    <w:rsid w:val="001B32A2"/>
    <w:rsid w:val="001C5467"/>
    <w:rsid w:val="001D082A"/>
    <w:rsid w:val="001D7708"/>
    <w:rsid w:val="001E5EC5"/>
    <w:rsid w:val="00212E97"/>
    <w:rsid w:val="0022718E"/>
    <w:rsid w:val="00236733"/>
    <w:rsid w:val="0027059C"/>
    <w:rsid w:val="00272124"/>
    <w:rsid w:val="002948AF"/>
    <w:rsid w:val="0029558D"/>
    <w:rsid w:val="00295EFE"/>
    <w:rsid w:val="00297C92"/>
    <w:rsid w:val="002C6DA4"/>
    <w:rsid w:val="003045E2"/>
    <w:rsid w:val="003504C1"/>
    <w:rsid w:val="00353DAF"/>
    <w:rsid w:val="00357728"/>
    <w:rsid w:val="003616F9"/>
    <w:rsid w:val="00374C81"/>
    <w:rsid w:val="00393A5E"/>
    <w:rsid w:val="0039501E"/>
    <w:rsid w:val="003A711C"/>
    <w:rsid w:val="003C2B29"/>
    <w:rsid w:val="003C70D0"/>
    <w:rsid w:val="003E0F32"/>
    <w:rsid w:val="003F3876"/>
    <w:rsid w:val="00402D88"/>
    <w:rsid w:val="00403C4A"/>
    <w:rsid w:val="00410132"/>
    <w:rsid w:val="0049200C"/>
    <w:rsid w:val="004C5EE3"/>
    <w:rsid w:val="004C781F"/>
    <w:rsid w:val="00505F46"/>
    <w:rsid w:val="005062E2"/>
    <w:rsid w:val="00544165"/>
    <w:rsid w:val="0054717C"/>
    <w:rsid w:val="005552CC"/>
    <w:rsid w:val="005739B0"/>
    <w:rsid w:val="0058160A"/>
    <w:rsid w:val="005828F5"/>
    <w:rsid w:val="005970C8"/>
    <w:rsid w:val="005A2B00"/>
    <w:rsid w:val="005B4580"/>
    <w:rsid w:val="005F0C13"/>
    <w:rsid w:val="006146EE"/>
    <w:rsid w:val="00626F67"/>
    <w:rsid w:val="00634B2B"/>
    <w:rsid w:val="00674ED5"/>
    <w:rsid w:val="00691A62"/>
    <w:rsid w:val="006A6C15"/>
    <w:rsid w:val="006D67A9"/>
    <w:rsid w:val="006E268F"/>
    <w:rsid w:val="006F5D0C"/>
    <w:rsid w:val="00700F5C"/>
    <w:rsid w:val="00721D64"/>
    <w:rsid w:val="00743E72"/>
    <w:rsid w:val="00743EB7"/>
    <w:rsid w:val="00761119"/>
    <w:rsid w:val="007637C2"/>
    <w:rsid w:val="00776BC5"/>
    <w:rsid w:val="00777AC6"/>
    <w:rsid w:val="00782695"/>
    <w:rsid w:val="007C0CD6"/>
    <w:rsid w:val="007C4A72"/>
    <w:rsid w:val="007D3944"/>
    <w:rsid w:val="007F2405"/>
    <w:rsid w:val="00807025"/>
    <w:rsid w:val="00830174"/>
    <w:rsid w:val="00863B4E"/>
    <w:rsid w:val="00864201"/>
    <w:rsid w:val="008742CD"/>
    <w:rsid w:val="008D1F48"/>
    <w:rsid w:val="00961312"/>
    <w:rsid w:val="00965FC6"/>
    <w:rsid w:val="00993372"/>
    <w:rsid w:val="009E5CEC"/>
    <w:rsid w:val="009E6926"/>
    <w:rsid w:val="00A05836"/>
    <w:rsid w:val="00A369F9"/>
    <w:rsid w:val="00A53E93"/>
    <w:rsid w:val="00A903A2"/>
    <w:rsid w:val="00AD72D3"/>
    <w:rsid w:val="00AE48C7"/>
    <w:rsid w:val="00B00083"/>
    <w:rsid w:val="00B16C67"/>
    <w:rsid w:val="00B17094"/>
    <w:rsid w:val="00B2776A"/>
    <w:rsid w:val="00B328FE"/>
    <w:rsid w:val="00B41307"/>
    <w:rsid w:val="00B421EE"/>
    <w:rsid w:val="00B77CB0"/>
    <w:rsid w:val="00B80E52"/>
    <w:rsid w:val="00B87896"/>
    <w:rsid w:val="00BA5603"/>
    <w:rsid w:val="00BA6467"/>
    <w:rsid w:val="00BC50D6"/>
    <w:rsid w:val="00BC7CC9"/>
    <w:rsid w:val="00BD2D86"/>
    <w:rsid w:val="00BD5BD6"/>
    <w:rsid w:val="00BE1BD7"/>
    <w:rsid w:val="00BF11BF"/>
    <w:rsid w:val="00BF7A28"/>
    <w:rsid w:val="00C04884"/>
    <w:rsid w:val="00C10AF9"/>
    <w:rsid w:val="00C27A03"/>
    <w:rsid w:val="00C32675"/>
    <w:rsid w:val="00C3416E"/>
    <w:rsid w:val="00C3489E"/>
    <w:rsid w:val="00C71B88"/>
    <w:rsid w:val="00CA4273"/>
    <w:rsid w:val="00CA672C"/>
    <w:rsid w:val="00CD533B"/>
    <w:rsid w:val="00CF55FC"/>
    <w:rsid w:val="00D11213"/>
    <w:rsid w:val="00D726E4"/>
    <w:rsid w:val="00DC4971"/>
    <w:rsid w:val="00DF155E"/>
    <w:rsid w:val="00DF4655"/>
    <w:rsid w:val="00E0734E"/>
    <w:rsid w:val="00E15EFE"/>
    <w:rsid w:val="00E51AB5"/>
    <w:rsid w:val="00E5477A"/>
    <w:rsid w:val="00E71F00"/>
    <w:rsid w:val="00E73881"/>
    <w:rsid w:val="00E93F52"/>
    <w:rsid w:val="00EA6531"/>
    <w:rsid w:val="00EA6C18"/>
    <w:rsid w:val="00EB551D"/>
    <w:rsid w:val="00EC39EB"/>
    <w:rsid w:val="00ED4D58"/>
    <w:rsid w:val="00EE6486"/>
    <w:rsid w:val="00F1559C"/>
    <w:rsid w:val="00F17BF9"/>
    <w:rsid w:val="00F30563"/>
    <w:rsid w:val="00F32D5C"/>
    <w:rsid w:val="00F512AB"/>
    <w:rsid w:val="00F76DB9"/>
    <w:rsid w:val="00FE33CE"/>
    <w:rsid w:val="00FF5F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B159F"/>
  <w15:docId w15:val="{DC56A799-9B62-462D-9B2D-C1B97067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C81"/>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C81"/>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374C81"/>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ListNumber">
    <w:name w:val="List Number"/>
    <w:basedOn w:val="Normal"/>
    <w:rsid w:val="004C781F"/>
    <w:pPr>
      <w:ind w:left="283" w:hanging="283"/>
    </w:pPr>
  </w:style>
  <w:style w:type="character" w:styleId="Hyperlink">
    <w:name w:val="Hyperlink"/>
    <w:rsid w:val="004C781F"/>
    <w:rPr>
      <w:rFonts w:ascii="Arial" w:hAnsi="Arial"/>
      <w:color w:val="0000FF"/>
      <w:u w:val="single"/>
    </w:rPr>
  </w:style>
  <w:style w:type="character" w:customStyle="1" w:styleId="FooterChar">
    <w:name w:val="Footer Char"/>
    <w:basedOn w:val="DefaultParagraphFont"/>
    <w:link w:val="Footer"/>
    <w:uiPriority w:val="99"/>
    <w:rsid w:val="00F32D5C"/>
    <w:rPr>
      <w:rFonts w:ascii="Arial" w:hAnsi="Arial"/>
      <w:kern w:val="16"/>
      <w:lang w:eastAsia="zh-CN"/>
    </w:rPr>
  </w:style>
  <w:style w:type="paragraph" w:styleId="BalloonText">
    <w:name w:val="Balloon Text"/>
    <w:basedOn w:val="Normal"/>
    <w:link w:val="BalloonTextChar"/>
    <w:rsid w:val="00F3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32D5C"/>
    <w:rPr>
      <w:rFonts w:ascii="Tahoma" w:hAnsi="Tahoma" w:cs="Tahoma"/>
      <w:kern w:val="16"/>
      <w:sz w:val="16"/>
      <w:szCs w:val="16"/>
      <w:lang w:eastAsia="zh-CN"/>
    </w:rPr>
  </w:style>
  <w:style w:type="paragraph" w:styleId="ListParagraph">
    <w:name w:val="List Paragraph"/>
    <w:basedOn w:val="Normal"/>
    <w:uiPriority w:val="34"/>
    <w:qFormat/>
    <w:rsid w:val="002948AF"/>
    <w:pPr>
      <w:ind w:left="720"/>
      <w:contextualSpacing/>
    </w:pPr>
  </w:style>
  <w:style w:type="character" w:customStyle="1" w:styleId="apple-converted-space">
    <w:name w:val="apple-converted-space"/>
    <w:basedOn w:val="DefaultParagraphFont"/>
    <w:rsid w:val="00C32675"/>
  </w:style>
  <w:style w:type="paragraph" w:styleId="NoSpacing">
    <w:name w:val="No Spacing"/>
    <w:uiPriority w:val="1"/>
    <w:qFormat/>
    <w:rsid w:val="00BF7A28"/>
    <w:rPr>
      <w:rFonts w:ascii="Calibri" w:eastAsia="Calibri" w:hAnsi="Calibri"/>
      <w:sz w:val="22"/>
      <w:szCs w:val="22"/>
      <w:lang w:val="en-US" w:eastAsia="en-US"/>
    </w:rPr>
  </w:style>
  <w:style w:type="table" w:styleId="TableGrid">
    <w:name w:val="Table Grid"/>
    <w:basedOn w:val="TableNormal"/>
    <w:rsid w:val="00BA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turkey@savethechildr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turkey@savethechildre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IForPublicDistribution xmlns="BBF59DD8-F274-4228-AF6E-794E33894328">false</SCIForPublicDistribution>
    <SCIDescription xmlns="BBF59DD8-F274-4228-AF6E-794E33894328" xsi:nil="true"/>
    <TaxCatchAll xmlns="21c99a15-b8d3-4e9b-9ae2-aea104c4c65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8121688777F1B4888F7FF96D138B866" ma:contentTypeVersion="9" ma:contentTypeDescription="OneNet Custom Document Content Type" ma:contentTypeScope="" ma:versionID="37e73e4fce16019c3beaf751175dca94">
  <xsd:schema xmlns:xsd="http://www.w3.org/2001/XMLSchema" xmlns:xs="http://www.w3.org/2001/XMLSchema" xmlns:p="http://schemas.microsoft.com/office/2006/metadata/properties" xmlns:ns2="BBF59DD8-F274-4228-AF6E-794E33894328" xmlns:ns3="21c99a15-b8d3-4e9b-9ae2-aea104c4c652" targetNamespace="http://schemas.microsoft.com/office/2006/metadata/properties" ma:root="true" ma:fieldsID="00614076fc541ff58dbe13653f219473" ns2:_="" ns3:_="">
    <xsd:import namespace="BBF59DD8-F274-4228-AF6E-794E33894328"/>
    <xsd:import namespace="21c99a15-b8d3-4e9b-9ae2-aea104c4c652"/>
    <xsd:element name="properties">
      <xsd:complexType>
        <xsd:sequence>
          <xsd:element name="documentManagement">
            <xsd:complexType>
              <xsd:all>
                <xsd:element ref="ns2:SCIForPublicDistribution" minOccurs="0"/>
                <xsd:element ref="ns2:SCIDescription"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ForPublicDistribution" ma:index="18" nillable="true" ma:displayName="For public distribution" ma:default="0" ma:internalName="SCIForPublicDistribution">
      <xsd:simpleType>
        <xsd:restriction base="dms:Boolean"/>
      </xsd:simpleType>
    </xsd:element>
    <xsd:element name="SCIDescription" ma:index="20"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1c99a15-b8d3-4e9b-9ae2-aea104c4c6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3e1bea-6108-4b46-b25e-e6183f086b71}" ma:internalName="TaxCatchAll" ma:showField="CatchAllData" ma:web="21c99a15-b8d3-4e9b-9ae2-aea104c4c652">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d3e1bea-6108-4b46-b25e-e6183f086b71}" ma:internalName="TaxCatchAllLabel" ma:readOnly="true" ma:showField="CatchAllDataLabel" ma:web="21c99a15-b8d3-4e9b-9ae2-aea104c4c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0B6A-B22A-44DF-80AB-4B77DC718F52}">
  <ds:schemaRefs>
    <ds:schemaRef ds:uri="http://schemas.microsoft.com/office/2006/metadata/properties"/>
    <ds:schemaRef ds:uri="http://schemas.microsoft.com/office/infopath/2007/PartnerControls"/>
    <ds:schemaRef ds:uri="BBF59DD8-F274-4228-AF6E-794E33894328"/>
    <ds:schemaRef ds:uri="21c99a15-b8d3-4e9b-9ae2-aea104c4c652"/>
  </ds:schemaRefs>
</ds:datastoreItem>
</file>

<file path=customXml/itemProps2.xml><?xml version="1.0" encoding="utf-8"?>
<ds:datastoreItem xmlns:ds="http://schemas.openxmlformats.org/officeDocument/2006/customXml" ds:itemID="{F05B9DC7-FD4B-4DB7-8D86-9AEAB3C77669}">
  <ds:schemaRefs>
    <ds:schemaRef ds:uri="http://schemas.microsoft.com/sharepoint/v3/contenttype/forms"/>
  </ds:schemaRefs>
</ds:datastoreItem>
</file>

<file path=customXml/itemProps3.xml><?xml version="1.0" encoding="utf-8"?>
<ds:datastoreItem xmlns:ds="http://schemas.openxmlformats.org/officeDocument/2006/customXml" ds:itemID="{B98FB050-29EE-4FA8-B64F-2ECEEC89B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59DD8-F274-4228-AF6E-794E33894328"/>
    <ds:schemaRef ds:uri="21c99a15-b8d3-4e9b-9ae2-aea104c4c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65A076-3270-4B6C-A930-BDCD65EA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The Save the Children Fund (SCUK) is inviting submissions of tenders for a contract to provide long-lasting insecticidal mosquito nets</vt:lpstr>
    </vt:vector>
  </TitlesOfParts>
  <Company>Save the Children</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Save the Children Fund (SCUK) is inviting submissions of tenders for a contract to provide long-lasting insecticidal mosquito nets</dc:title>
  <dc:creator>LMiller</dc:creator>
  <cp:lastModifiedBy>Asmadi Asmadi</cp:lastModifiedBy>
  <cp:revision>4</cp:revision>
  <cp:lastPrinted>2014-09-19T12:15:00Z</cp:lastPrinted>
  <dcterms:created xsi:type="dcterms:W3CDTF">2016-11-17T12:57:00Z</dcterms:created>
  <dcterms:modified xsi:type="dcterms:W3CDTF">2016-11-17T14:16:00Z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0x010100F4ABE42D36554BC4A3ED59683975979A00D8121688777F1B4888F7FF96D138B866</vt:lpwstr>
  </property>
</Properties>
</file>